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F8" w:rsidRPr="00B44CF8" w:rsidRDefault="00B44CF8" w:rsidP="00B44C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B44CF8" w:rsidRPr="00B44CF8" w:rsidRDefault="00B44CF8" w:rsidP="00B44C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B44CF8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Klauzula informacyjna</w:t>
      </w:r>
    </w:p>
    <w:p w:rsidR="00B44CF8" w:rsidRPr="00B44CF8" w:rsidRDefault="00B44CF8" w:rsidP="00B44C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B44CF8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w przypadku zbierania danych osobowych  od osoby, której dane dotyczą</w:t>
      </w:r>
    </w:p>
    <w:p w:rsidR="00B44CF8" w:rsidRPr="00B44CF8" w:rsidRDefault="00B44CF8" w:rsidP="00B44C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B44CF8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art. 13 RODO</w:t>
      </w:r>
    </w:p>
    <w:p w:rsidR="00B44CF8" w:rsidRPr="00B44CF8" w:rsidRDefault="00B44CF8" w:rsidP="00B44C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tbl>
      <w:tblPr>
        <w:tblW w:w="9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084"/>
      </w:tblGrid>
      <w:tr w:rsidR="00B44CF8" w:rsidRPr="00B44CF8" w:rsidTr="00320A2F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Administrator Danych</w:t>
            </w:r>
          </w:p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7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Żłobek Miejski Nr 1 w Dzierżoniowie reprezentowany przez Dyrektor Żłobka Miejskiego os. Błękitne 28, 58-200 Dzierżoniów tel. 74 831 51 05.</w:t>
            </w:r>
            <w:r w:rsidRPr="00B44CF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bookmarkStart w:id="0" w:name="_Hlk15993442"/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dyrektor@zlobekdzierzoniow.stronyzklasa.pl</w:t>
            </w:r>
            <w:bookmarkEnd w:id="0"/>
          </w:p>
        </w:tc>
      </w:tr>
      <w:tr w:rsidR="00B44CF8" w:rsidRPr="00B44CF8" w:rsidTr="00320A2F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Inspektor Ochrony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t>Kontakt:  Żłobek Miejski Nr 1, os. Błękitne 28, 58-200 Dzierżoniów,</w:t>
            </w:r>
          </w:p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val="en-GB" w:eastAsia="zh-CN"/>
              </w:rPr>
              <w:t>e-mail:</w:t>
            </w:r>
            <w:r w:rsidRPr="00B44CF8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val="en-GB" w:eastAsia="zh-CN"/>
              </w:rPr>
              <w:t>inspektor@zlobekdzierzoniow.stronyzklasa.pl</w:t>
            </w:r>
            <w:r w:rsidRPr="00B44CF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B44CF8" w:rsidRPr="00B44CF8" w:rsidTr="00320A2F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Cele przetwarzania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>Będziemy przetwarzać Twoje dane w celu przygotowania i przekazania odpowiedzi na wniosek o udostępnienie informacji publicznej.</w:t>
            </w:r>
          </w:p>
        </w:tc>
      </w:tr>
      <w:tr w:rsidR="00B44CF8" w:rsidRPr="00B44CF8" w:rsidTr="00320A2F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Podstawa prawna przetwarzania Twoich danych osobowych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Będziemy przetwarzać Twoje dane na podstawie art. 2 i art. 16 ustawy </w:t>
            </w: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br/>
              <w:t>z dnia 6 września 2001r. o dostępie do informacji publicznej.</w:t>
            </w:r>
          </w:p>
        </w:tc>
      </w:tr>
      <w:tr w:rsidR="00B44CF8" w:rsidRPr="00B44CF8" w:rsidTr="00320A2F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Okres przechowywania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Twoje dane osobowe będą przechowywane przez </w:t>
            </w: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t xml:space="preserve">okres zgodny </w:t>
            </w: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br/>
              <w:t>z kategorią archiwalną określoną w Jednolitym Rzeczowym Wykazie Akt -Rozporządzenie Prezesa Rady Ministrów z dnia 18 stycznia 2011r.</w:t>
            </w:r>
            <w:r w:rsidRPr="00B44CF8">
              <w:rPr>
                <w:rFonts w:ascii="Times New Roman" w:eastAsia="UniversPro-Bold" w:hAnsi="Times New Roman" w:cs="UniversPro-Bold"/>
                <w:color w:val="111111"/>
                <w:kern w:val="3"/>
                <w:lang w:eastAsia="zh-CN"/>
              </w:rPr>
              <w:t xml:space="preserve">w sprawie instrukcji kancelaryjnej, jednolitych rzeczowych wykazów akt oraz instrukcji </w:t>
            </w:r>
            <w:r w:rsidRPr="00B44CF8">
              <w:rPr>
                <w:rFonts w:ascii="Times New Roman" w:eastAsia="UniversPro-Bold" w:hAnsi="Times New Roman" w:cs="UniversPro-Bold"/>
                <w:kern w:val="3"/>
                <w:lang w:eastAsia="zh-CN"/>
              </w:rPr>
              <w:t>w sprawie organizacji i zakresu działania archiwów zakładowych.</w:t>
            </w:r>
          </w:p>
        </w:tc>
      </w:tr>
      <w:tr w:rsidR="00B44CF8" w:rsidRPr="00B44CF8" w:rsidTr="00320A2F">
        <w:trPr>
          <w:trHeight w:val="803"/>
        </w:trPr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Odbiorcy Twoich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t>Twoje dane osobowe nie będą udostępniane innym podmiotom i osobom.</w:t>
            </w:r>
          </w:p>
        </w:tc>
      </w:tr>
      <w:tr w:rsidR="00B44CF8" w:rsidRPr="00B44CF8" w:rsidTr="00320A2F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Twoje prawa związane z przetwarzaniem danych osobowych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Przysługują Ci następujące prawa związane z przetwarzaniem danych osobowych:</w:t>
            </w:r>
          </w:p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t>1. prawo dostępu do swoich danych osobowych,</w:t>
            </w:r>
          </w:p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t>2. prawo do żądania sprostowania danych osobowych,</w:t>
            </w:r>
          </w:p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t>3. prawo ograniczenia przetwarzania.</w:t>
            </w:r>
          </w:p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lang w:eastAsia="zh-CN"/>
              </w:rPr>
            </w:pPr>
          </w:p>
        </w:tc>
      </w:tr>
      <w:tr w:rsidR="00B44CF8" w:rsidRPr="00B44CF8" w:rsidTr="00320A2F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Prawo wniesienia skargi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 przypadku nieprawidłowości przy przetwarzaniu Twoich danych osobowych, masz prawo do wniesienia skargi do organu nadzorczego zajmującego się ochroną danych osobowych, tj. Prezesa Urzędu Ochrony Danych Osobowych.</w:t>
            </w:r>
          </w:p>
        </w:tc>
      </w:tr>
      <w:tr w:rsidR="00B44CF8" w:rsidRPr="00B44CF8" w:rsidTr="00320A2F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Informacja o konieczności podania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CF8" w:rsidRPr="00B44CF8" w:rsidRDefault="00B44CF8" w:rsidP="00B44C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44CF8">
              <w:rPr>
                <w:rFonts w:ascii="Times New Roman" w:eastAsia="Times New Roman" w:hAnsi="Times New Roman" w:cs="Times New Roman"/>
                <w:color w:val="111111"/>
                <w:kern w:val="3"/>
                <w:lang w:eastAsia="zh-CN"/>
              </w:rPr>
              <w:t xml:space="preserve">Podanie danych jest dobrowolne, </w:t>
            </w:r>
            <w:bookmarkStart w:id="1" w:name="_GoBack"/>
            <w:r w:rsidRPr="000876D4">
              <w:rPr>
                <w:rFonts w:ascii="Times New Roman" w:eastAsia="Times New Roman" w:hAnsi="Times New Roman" w:cs="Times New Roman"/>
                <w:color w:val="00000A"/>
                <w:kern w:val="3"/>
                <w:lang w:eastAsia="zh-CN"/>
              </w:rPr>
              <w:t xml:space="preserve">ale niezbędne do </w:t>
            </w:r>
            <w:r w:rsidRPr="000876D4"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>przygotowania i przekazania odpowiedzi na wniosek o udostępnienie informacji publicznej</w:t>
            </w:r>
            <w:bookmarkEnd w:id="1"/>
          </w:p>
        </w:tc>
      </w:tr>
    </w:tbl>
    <w:p w:rsidR="00B44CF8" w:rsidRPr="00B44CF8" w:rsidRDefault="00B44CF8" w:rsidP="00B44C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B44CF8" w:rsidRPr="00B44CF8" w:rsidRDefault="00B44CF8" w:rsidP="00B44CF8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"/>
          <w:lang w:eastAsia="zh-CN"/>
        </w:rPr>
      </w:pPr>
    </w:p>
    <w:p w:rsidR="00B44CF8" w:rsidRPr="00B44CF8" w:rsidRDefault="00B44CF8" w:rsidP="00B44C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lang w:eastAsia="zh-CN"/>
        </w:rPr>
      </w:pPr>
    </w:p>
    <w:p w:rsidR="00B44CF8" w:rsidRPr="00B44CF8" w:rsidRDefault="00B44CF8" w:rsidP="00B44C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lang w:eastAsia="zh-CN"/>
        </w:rPr>
      </w:pP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  <w:t>Zapoznałem/</w:t>
      </w:r>
      <w:proofErr w:type="spellStart"/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>am</w:t>
      </w:r>
      <w:proofErr w:type="spellEnd"/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 xml:space="preserve"> się z treścią: powyższej klauzuli informacyjnej  </w:t>
      </w:r>
    </w:p>
    <w:p w:rsidR="00B44CF8" w:rsidRPr="00B44CF8" w:rsidRDefault="00B44CF8" w:rsidP="00B44C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lang w:eastAsia="zh-CN"/>
        </w:rPr>
      </w:pPr>
    </w:p>
    <w:p w:rsidR="00B44CF8" w:rsidRPr="00B44CF8" w:rsidRDefault="00B44CF8" w:rsidP="00B44C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</w:pPr>
    </w:p>
    <w:p w:rsidR="00B44CF8" w:rsidRPr="00B44CF8" w:rsidRDefault="00B44CF8" w:rsidP="00B44C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</w:pPr>
    </w:p>
    <w:p w:rsidR="00B44CF8" w:rsidRPr="00B44CF8" w:rsidRDefault="00B44CF8" w:rsidP="00B44C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  <w:t xml:space="preserve"> </w:t>
      </w: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>…........................................................</w:t>
      </w:r>
    </w:p>
    <w:p w:rsidR="00B44CF8" w:rsidRPr="00B44CF8" w:rsidRDefault="00B44CF8" w:rsidP="00B44CF8">
      <w:pPr>
        <w:suppressAutoHyphens/>
        <w:autoSpaceDN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lang w:eastAsia="zh-CN"/>
        </w:rPr>
      </w:pP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color w:val="111111"/>
          <w:kern w:val="3"/>
          <w:lang w:eastAsia="zh-CN"/>
        </w:rPr>
        <w:tab/>
      </w:r>
    </w:p>
    <w:p w:rsidR="00B44CF8" w:rsidRPr="00B44CF8" w:rsidRDefault="00B44CF8" w:rsidP="00B44CF8">
      <w:pPr>
        <w:suppressAutoHyphens/>
        <w:autoSpaceDN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</w:pP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</w:r>
      <w:r w:rsidRPr="00B44CF8">
        <w:rPr>
          <w:rFonts w:ascii="Times New Roman" w:eastAsia="Times New Roman" w:hAnsi="Times New Roman" w:cs="Times New Roman"/>
          <w:i/>
          <w:iCs/>
          <w:color w:val="111111"/>
          <w:kern w:val="3"/>
          <w:lang w:eastAsia="zh-CN"/>
        </w:rPr>
        <w:tab/>
        <w:t xml:space="preserve">                                                  (czytelny podpis wnioskodawcy)</w:t>
      </w:r>
    </w:p>
    <w:p w:rsidR="00B44CF8" w:rsidRPr="00B44CF8" w:rsidRDefault="00B44CF8" w:rsidP="00B44CF8">
      <w:pPr>
        <w:rPr>
          <w:rFonts w:ascii="Calibri" w:eastAsia="Calibri" w:hAnsi="Calibri" w:cs="Times New Roman"/>
        </w:rPr>
      </w:pPr>
    </w:p>
    <w:p w:rsidR="005433D8" w:rsidRDefault="005433D8"/>
    <w:sectPr w:rsidR="005433D8" w:rsidSect="00D16BB6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AB" w:rsidRDefault="003F39AB">
      <w:pPr>
        <w:spacing w:after="0" w:line="240" w:lineRule="auto"/>
      </w:pPr>
      <w:r>
        <w:separator/>
      </w:r>
    </w:p>
  </w:endnote>
  <w:endnote w:type="continuationSeparator" w:id="0">
    <w:p w:rsidR="003F39AB" w:rsidRDefault="003F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AB" w:rsidRDefault="00B44C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76D4">
      <w:rPr>
        <w:noProof/>
      </w:rPr>
      <w:t>1</w:t>
    </w:r>
    <w:r>
      <w:fldChar w:fldCharType="end"/>
    </w:r>
  </w:p>
  <w:p w:rsidR="00951AAB" w:rsidRDefault="003F3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AB" w:rsidRDefault="003F39AB">
      <w:pPr>
        <w:spacing w:after="0" w:line="240" w:lineRule="auto"/>
      </w:pPr>
      <w:r>
        <w:separator/>
      </w:r>
    </w:p>
  </w:footnote>
  <w:footnote w:type="continuationSeparator" w:id="0">
    <w:p w:rsidR="003F39AB" w:rsidRDefault="003F3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F8"/>
    <w:rsid w:val="000876D4"/>
    <w:rsid w:val="003F39AB"/>
    <w:rsid w:val="005433D8"/>
    <w:rsid w:val="00B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F38E-5A26-4B6B-BE8C-0BA45EA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4C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44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2019-09-24T10:02:00Z</dcterms:created>
  <dcterms:modified xsi:type="dcterms:W3CDTF">2019-09-24T10:04:00Z</dcterms:modified>
</cp:coreProperties>
</file>